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5CD3" w14:textId="77777777" w:rsidR="006333FF" w:rsidRPr="00207C2D" w:rsidRDefault="006333FF" w:rsidP="006333FF">
      <w:pPr>
        <w:spacing w:after="120" w:line="240" w:lineRule="auto"/>
        <w:jc w:val="both"/>
        <w:rPr>
          <w:rFonts w:ascii="Verdana" w:hAnsi="Verdana"/>
        </w:rPr>
      </w:pPr>
      <w:r w:rsidRPr="00207C2D">
        <w:rPr>
          <w:rFonts w:ascii="Verdana" w:hAnsi="Verdana"/>
        </w:rPr>
        <w:t>Anexo 1. Posibles inconsistencias en la regla de grados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7196"/>
      </w:tblGrid>
      <w:tr w:rsidR="006333FF" w:rsidRPr="00207C2D" w14:paraId="2371B5EE" w14:textId="77777777" w:rsidTr="007F790A">
        <w:trPr>
          <w:jc w:val="center"/>
        </w:trPr>
        <w:tc>
          <w:tcPr>
            <w:tcW w:w="1163" w:type="dxa"/>
          </w:tcPr>
          <w:p w14:paraId="01D60BFC" w14:textId="77777777" w:rsidR="006333FF" w:rsidRPr="00207C2D" w:rsidRDefault="006333FF" w:rsidP="007F790A">
            <w:pPr>
              <w:jc w:val="center"/>
              <w:rPr>
                <w:rFonts w:ascii="Verdana" w:hAnsi="Verdana"/>
              </w:rPr>
            </w:pPr>
            <w:r w:rsidRPr="00207C2D">
              <w:rPr>
                <w:rFonts w:ascii="Verdana" w:hAnsi="Verdana"/>
              </w:rPr>
              <w:t>Código</w:t>
            </w:r>
          </w:p>
        </w:tc>
        <w:tc>
          <w:tcPr>
            <w:tcW w:w="7196" w:type="dxa"/>
          </w:tcPr>
          <w:p w14:paraId="0B966372" w14:textId="77777777" w:rsidR="006333FF" w:rsidRPr="00207C2D" w:rsidRDefault="006333FF" w:rsidP="007F790A">
            <w:pPr>
              <w:jc w:val="center"/>
              <w:rPr>
                <w:rFonts w:ascii="Verdana" w:hAnsi="Verdana"/>
              </w:rPr>
            </w:pPr>
            <w:r w:rsidRPr="00207C2D">
              <w:rPr>
                <w:rFonts w:ascii="Verdana" w:hAnsi="Verdana"/>
              </w:rPr>
              <w:t>Descripción</w:t>
            </w:r>
          </w:p>
        </w:tc>
      </w:tr>
      <w:tr w:rsidR="006333FF" w:rsidRPr="00207C2D" w14:paraId="383EFB3B" w14:textId="77777777" w:rsidTr="007F790A">
        <w:trPr>
          <w:jc w:val="center"/>
        </w:trPr>
        <w:tc>
          <w:tcPr>
            <w:tcW w:w="1163" w:type="dxa"/>
            <w:vAlign w:val="center"/>
          </w:tcPr>
          <w:p w14:paraId="5C5D27B1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196" w:type="dxa"/>
            <w:vAlign w:val="center"/>
          </w:tcPr>
          <w:p w14:paraId="7CC8A3C0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Estudiantes de preescolar en 2019 que aparecen matriculados en 2° o más en abril 2020 (no se incluye aceleración del aprendizaje e incluye ciclos de adultos).</w:t>
            </w:r>
          </w:p>
        </w:tc>
      </w:tr>
      <w:tr w:rsidR="006333FF" w:rsidRPr="00207C2D" w14:paraId="464797B4" w14:textId="77777777" w:rsidTr="007F790A">
        <w:trPr>
          <w:jc w:val="center"/>
        </w:trPr>
        <w:tc>
          <w:tcPr>
            <w:tcW w:w="1163" w:type="dxa"/>
            <w:vAlign w:val="center"/>
          </w:tcPr>
          <w:p w14:paraId="6338D149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196" w:type="dxa"/>
            <w:vAlign w:val="center"/>
          </w:tcPr>
          <w:p w14:paraId="15C1C8F8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Estudiantes de prejardín y jardín en 2019 preliminar, que aparecen matriculados en aceleración del aprendizaje en abril 2020 sin haber cursado el grado de Transición (no se consideran estudiantes con algún tipo de discapacidad o capacidad excepcional).</w:t>
            </w:r>
          </w:p>
        </w:tc>
      </w:tr>
      <w:tr w:rsidR="006333FF" w:rsidRPr="00207C2D" w14:paraId="2366B886" w14:textId="77777777" w:rsidTr="007F790A">
        <w:trPr>
          <w:jc w:val="center"/>
        </w:trPr>
        <w:tc>
          <w:tcPr>
            <w:tcW w:w="1163" w:type="dxa"/>
            <w:vAlign w:val="center"/>
          </w:tcPr>
          <w:p w14:paraId="4393A46A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196" w:type="dxa"/>
            <w:vAlign w:val="center"/>
          </w:tcPr>
          <w:p w14:paraId="1217500D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Estudiantes de primaria y secundaria en base preliminar 2019 que aparecen matriculados en dos grados superiores en abril 2020 (no se consideran estudiantes con algún tipo de discapacidad o capacidad excepcional, ciclos de adultos y aceleración del aprendizaje).</w:t>
            </w:r>
          </w:p>
        </w:tc>
      </w:tr>
      <w:tr w:rsidR="006333FF" w:rsidRPr="00207C2D" w14:paraId="3BCD58E2" w14:textId="77777777" w:rsidTr="007F790A">
        <w:trPr>
          <w:jc w:val="center"/>
        </w:trPr>
        <w:tc>
          <w:tcPr>
            <w:tcW w:w="1163" w:type="dxa"/>
            <w:vAlign w:val="center"/>
          </w:tcPr>
          <w:p w14:paraId="36C1B031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196" w:type="dxa"/>
            <w:vAlign w:val="center"/>
          </w:tcPr>
          <w:p w14:paraId="3F911487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Estudiantes de 12 años o menos matriculados en grados 1° a 3° en base preliminar 2019 que aparecen matriculados en ciclos de adultos de secundaria o media en abril 2020 (no se consideran los estudiantes con algún tipo de discapacidad o capacidad excepcional).</w:t>
            </w:r>
          </w:p>
        </w:tc>
      </w:tr>
      <w:tr w:rsidR="006333FF" w:rsidRPr="00207C2D" w14:paraId="48E68804" w14:textId="77777777" w:rsidTr="007F790A">
        <w:trPr>
          <w:jc w:val="center"/>
        </w:trPr>
        <w:tc>
          <w:tcPr>
            <w:tcW w:w="1163" w:type="dxa"/>
            <w:vAlign w:val="center"/>
          </w:tcPr>
          <w:p w14:paraId="4FD7A7C6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196" w:type="dxa"/>
            <w:vAlign w:val="center"/>
          </w:tcPr>
          <w:p w14:paraId="1F4C3052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 xml:space="preserve">Estudiantes de 14 años o menos que aprueban 5° en base preliminar 2019 y que aparecen matriculados en ciclos de adultos de secundaria o media en abril 2020 (no se consideran los estudiantes con algún tipo de discapacidad o capacidad excepcional). </w:t>
            </w:r>
          </w:p>
        </w:tc>
      </w:tr>
      <w:tr w:rsidR="006333FF" w:rsidRPr="00207C2D" w14:paraId="20825651" w14:textId="77777777" w:rsidTr="007F790A">
        <w:trPr>
          <w:jc w:val="center"/>
        </w:trPr>
        <w:tc>
          <w:tcPr>
            <w:tcW w:w="1163" w:type="dxa"/>
            <w:vAlign w:val="center"/>
          </w:tcPr>
          <w:p w14:paraId="4EFCCD34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196" w:type="dxa"/>
            <w:vAlign w:val="center"/>
          </w:tcPr>
          <w:p w14:paraId="5359363B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Estudiantes de grados 6°, 7° u 8° en base preliminar 2019 que aparecen matriculados en ciclos de adultos de media en abril 2020 (no se consideran estudiantes con algún tipo de discapacidad o capacidad excepcional).</w:t>
            </w:r>
          </w:p>
        </w:tc>
      </w:tr>
      <w:tr w:rsidR="006333FF" w:rsidRPr="00207C2D" w14:paraId="1B5EEB08" w14:textId="77777777" w:rsidTr="007F790A">
        <w:trPr>
          <w:jc w:val="center"/>
        </w:trPr>
        <w:tc>
          <w:tcPr>
            <w:tcW w:w="1163" w:type="dxa"/>
            <w:vAlign w:val="center"/>
          </w:tcPr>
          <w:p w14:paraId="433635F2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196" w:type="dxa"/>
            <w:vAlign w:val="center"/>
          </w:tcPr>
          <w:p w14:paraId="11C05A8F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 xml:space="preserve">Estudiantes matriculados en Escuelas Normales Superiores en base preliminar 2019 que aparecen matriculados en ciclos de adultos en abril 2020. </w:t>
            </w:r>
          </w:p>
        </w:tc>
      </w:tr>
      <w:tr w:rsidR="006333FF" w:rsidRPr="00207C2D" w14:paraId="61F23499" w14:textId="77777777" w:rsidTr="007F790A">
        <w:trPr>
          <w:jc w:val="center"/>
        </w:trPr>
        <w:tc>
          <w:tcPr>
            <w:tcW w:w="1163" w:type="dxa"/>
            <w:vAlign w:val="center"/>
          </w:tcPr>
          <w:p w14:paraId="236B4589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196" w:type="dxa"/>
            <w:vAlign w:val="center"/>
          </w:tcPr>
          <w:p w14:paraId="65575203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Estudiantes en ciclos de adultos que aparecen matriculados en dos ciclos superiores en abril 2020 con respecto a base preliminar 2019 (no se consideran estudiantes con algún tipo de discapacidad o capacidad excepcional).</w:t>
            </w:r>
          </w:p>
        </w:tc>
      </w:tr>
      <w:tr w:rsidR="006333FF" w:rsidRPr="00207C2D" w14:paraId="0A07AE8C" w14:textId="77777777" w:rsidTr="007F790A">
        <w:trPr>
          <w:jc w:val="center"/>
        </w:trPr>
        <w:tc>
          <w:tcPr>
            <w:tcW w:w="1163" w:type="dxa"/>
            <w:vAlign w:val="center"/>
          </w:tcPr>
          <w:p w14:paraId="23D8C6EC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196" w:type="dxa"/>
            <w:vAlign w:val="center"/>
          </w:tcPr>
          <w:p w14:paraId="4E541071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 xml:space="preserve">Estudiantes que en abril 2020 aparecen matriculados en un grado inferior al reportado en base preliminar 2019 (no se incluye aceleración del aprendizaje). </w:t>
            </w:r>
          </w:p>
        </w:tc>
      </w:tr>
    </w:tbl>
    <w:p w14:paraId="63BFEF1F" w14:textId="77777777" w:rsidR="006333FF" w:rsidRPr="00207C2D" w:rsidRDefault="006333FF" w:rsidP="006333FF">
      <w:pPr>
        <w:spacing w:after="120" w:line="240" w:lineRule="auto"/>
        <w:jc w:val="both"/>
        <w:rPr>
          <w:rFonts w:ascii="Verdana" w:hAnsi="Verdana"/>
        </w:rPr>
      </w:pPr>
    </w:p>
    <w:p w14:paraId="5545764A" w14:textId="77777777" w:rsidR="006333FF" w:rsidRPr="00207C2D" w:rsidRDefault="006333FF" w:rsidP="006333FF">
      <w:pPr>
        <w:rPr>
          <w:rFonts w:ascii="Verdana" w:hAnsi="Verdana"/>
        </w:rPr>
      </w:pPr>
      <w:r w:rsidRPr="00207C2D">
        <w:rPr>
          <w:rFonts w:ascii="Verdana" w:hAnsi="Verdana"/>
        </w:rPr>
        <w:br w:type="page"/>
      </w:r>
    </w:p>
    <w:p w14:paraId="64D7E2A7" w14:textId="77777777" w:rsidR="00DD7B43" w:rsidRDefault="00DD7B43" w:rsidP="00DD7B43">
      <w:pPr>
        <w:spacing w:after="120" w:line="240" w:lineRule="auto"/>
        <w:jc w:val="both"/>
        <w:rPr>
          <w:rFonts w:ascii="Verdana" w:hAnsi="Verdana"/>
        </w:rPr>
      </w:pPr>
      <w:bookmarkStart w:id="0" w:name="_Hlk44517852"/>
      <w:r w:rsidRPr="00207C2D">
        <w:rPr>
          <w:rFonts w:ascii="Verdana" w:hAnsi="Verdana"/>
        </w:rPr>
        <w:lastRenderedPageBreak/>
        <w:t>Anexo 2. Posibles inconsistencias en la regla de edades</w:t>
      </w:r>
    </w:p>
    <w:p w14:paraId="491EFE7A" w14:textId="77777777" w:rsidR="00DD7B43" w:rsidRPr="00207C2D" w:rsidRDefault="00DD7B43" w:rsidP="00DD7B43">
      <w:pPr>
        <w:spacing w:after="120" w:line="240" w:lineRule="auto"/>
        <w:jc w:val="both"/>
        <w:rPr>
          <w:rFonts w:ascii="Verdana" w:hAnsi="Verdana"/>
        </w:rPr>
      </w:pPr>
      <w:r w:rsidRPr="00E54B4A">
        <w:rPr>
          <w:noProof/>
        </w:rPr>
        <w:drawing>
          <wp:inline distT="0" distB="0" distL="0" distR="0" wp14:anchorId="69F5B763" wp14:editId="12893167">
            <wp:extent cx="6057900" cy="2933700"/>
            <wp:effectExtent l="0" t="0" r="0" b="0"/>
            <wp:docPr id="331" name="Imagen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780B" w14:textId="77777777" w:rsidR="00DD7B43" w:rsidRPr="00207C2D" w:rsidRDefault="00DD7B43" w:rsidP="00DD7B43">
      <w:pPr>
        <w:spacing w:after="120" w:line="240" w:lineRule="auto"/>
        <w:jc w:val="both"/>
        <w:rPr>
          <w:rFonts w:ascii="Verdana" w:hAnsi="Verdana"/>
        </w:rPr>
      </w:pPr>
    </w:p>
    <w:bookmarkEnd w:id="0"/>
    <w:p w14:paraId="63AB2326" w14:textId="77777777" w:rsidR="00DD7B43" w:rsidRPr="00207C2D" w:rsidRDefault="00DD7B43" w:rsidP="00DD7B43">
      <w:pPr>
        <w:spacing w:after="120" w:line="240" w:lineRule="auto"/>
        <w:jc w:val="both"/>
        <w:rPr>
          <w:rFonts w:ascii="Verdana" w:hAnsi="Verdana"/>
        </w:rPr>
      </w:pPr>
    </w:p>
    <w:p w14:paraId="37704AE3" w14:textId="77777777" w:rsidR="001F2AB3" w:rsidRPr="006333FF" w:rsidRDefault="001F2AB3" w:rsidP="000B656A">
      <w:pPr>
        <w:spacing w:after="120" w:line="240" w:lineRule="auto"/>
        <w:jc w:val="both"/>
      </w:pPr>
    </w:p>
    <w:sectPr w:rsidR="001F2AB3" w:rsidRPr="006333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45"/>
    <w:rsid w:val="00004762"/>
    <w:rsid w:val="000443E9"/>
    <w:rsid w:val="00061A49"/>
    <w:rsid w:val="00072B5F"/>
    <w:rsid w:val="00083943"/>
    <w:rsid w:val="000A4470"/>
    <w:rsid w:val="000B656A"/>
    <w:rsid w:val="000C73D6"/>
    <w:rsid w:val="000E2308"/>
    <w:rsid w:val="000F3BB3"/>
    <w:rsid w:val="000F5B10"/>
    <w:rsid w:val="001035E7"/>
    <w:rsid w:val="0010576F"/>
    <w:rsid w:val="001515A9"/>
    <w:rsid w:val="0015655F"/>
    <w:rsid w:val="001A5DF4"/>
    <w:rsid w:val="001C0F1D"/>
    <w:rsid w:val="001D16C0"/>
    <w:rsid w:val="001F2AB3"/>
    <w:rsid w:val="0020782D"/>
    <w:rsid w:val="00217C53"/>
    <w:rsid w:val="00256A1C"/>
    <w:rsid w:val="0028663F"/>
    <w:rsid w:val="00287A82"/>
    <w:rsid w:val="002B2690"/>
    <w:rsid w:val="002D7F9B"/>
    <w:rsid w:val="00317254"/>
    <w:rsid w:val="00347337"/>
    <w:rsid w:val="00362CCF"/>
    <w:rsid w:val="00380727"/>
    <w:rsid w:val="003875F6"/>
    <w:rsid w:val="003958C3"/>
    <w:rsid w:val="003B556D"/>
    <w:rsid w:val="003F7B60"/>
    <w:rsid w:val="004274FF"/>
    <w:rsid w:val="0045511E"/>
    <w:rsid w:val="0046610D"/>
    <w:rsid w:val="00495050"/>
    <w:rsid w:val="004E245B"/>
    <w:rsid w:val="004E31D4"/>
    <w:rsid w:val="00503BF2"/>
    <w:rsid w:val="00526D7E"/>
    <w:rsid w:val="005666B5"/>
    <w:rsid w:val="00575562"/>
    <w:rsid w:val="0057620E"/>
    <w:rsid w:val="005A6A24"/>
    <w:rsid w:val="006333FF"/>
    <w:rsid w:val="006C72CA"/>
    <w:rsid w:val="006D36C4"/>
    <w:rsid w:val="006E1332"/>
    <w:rsid w:val="006E1B03"/>
    <w:rsid w:val="006F29DD"/>
    <w:rsid w:val="007018C6"/>
    <w:rsid w:val="00713EED"/>
    <w:rsid w:val="00740EE0"/>
    <w:rsid w:val="0074788B"/>
    <w:rsid w:val="00763827"/>
    <w:rsid w:val="007B3961"/>
    <w:rsid w:val="007D4458"/>
    <w:rsid w:val="007E3A13"/>
    <w:rsid w:val="0083221E"/>
    <w:rsid w:val="00861D09"/>
    <w:rsid w:val="00862F77"/>
    <w:rsid w:val="00873E88"/>
    <w:rsid w:val="00897BF5"/>
    <w:rsid w:val="008A3659"/>
    <w:rsid w:val="008B6217"/>
    <w:rsid w:val="008D749B"/>
    <w:rsid w:val="009208D4"/>
    <w:rsid w:val="0096674A"/>
    <w:rsid w:val="009821AE"/>
    <w:rsid w:val="009B617A"/>
    <w:rsid w:val="00A367F4"/>
    <w:rsid w:val="00A42F1C"/>
    <w:rsid w:val="00AB6403"/>
    <w:rsid w:val="00B15F3B"/>
    <w:rsid w:val="00B21BD8"/>
    <w:rsid w:val="00B223FC"/>
    <w:rsid w:val="00B610B5"/>
    <w:rsid w:val="00BA0200"/>
    <w:rsid w:val="00BA3310"/>
    <w:rsid w:val="00BC0CD9"/>
    <w:rsid w:val="00BC2A14"/>
    <w:rsid w:val="00BE7A45"/>
    <w:rsid w:val="00BF2086"/>
    <w:rsid w:val="00BF460D"/>
    <w:rsid w:val="00C1015A"/>
    <w:rsid w:val="00C32645"/>
    <w:rsid w:val="00C4732C"/>
    <w:rsid w:val="00C646A7"/>
    <w:rsid w:val="00CC0D3D"/>
    <w:rsid w:val="00CE6356"/>
    <w:rsid w:val="00D25569"/>
    <w:rsid w:val="00D65B33"/>
    <w:rsid w:val="00DB3F45"/>
    <w:rsid w:val="00DC5FAC"/>
    <w:rsid w:val="00DC715B"/>
    <w:rsid w:val="00DD7B43"/>
    <w:rsid w:val="00DE1821"/>
    <w:rsid w:val="00DE7611"/>
    <w:rsid w:val="00E031B0"/>
    <w:rsid w:val="00E40008"/>
    <w:rsid w:val="00E45A9C"/>
    <w:rsid w:val="00E54DAD"/>
    <w:rsid w:val="00E86459"/>
    <w:rsid w:val="00EC04E9"/>
    <w:rsid w:val="00ED76E1"/>
    <w:rsid w:val="00EE1BB0"/>
    <w:rsid w:val="00EF51BA"/>
    <w:rsid w:val="00F10555"/>
    <w:rsid w:val="00F36C63"/>
    <w:rsid w:val="00F75DF2"/>
    <w:rsid w:val="00FB08D5"/>
    <w:rsid w:val="00FC4610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07A500"/>
  <w15:chartTrackingRefBased/>
  <w15:docId w15:val="{E90BAFDD-4AB3-4163-877D-15840B8A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3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 Enrique Rincon Espejo</dc:creator>
  <cp:keywords/>
  <dc:description/>
  <cp:lastModifiedBy>Sirle</cp:lastModifiedBy>
  <cp:revision>2</cp:revision>
  <dcterms:created xsi:type="dcterms:W3CDTF">2020-08-18T11:39:00Z</dcterms:created>
  <dcterms:modified xsi:type="dcterms:W3CDTF">2020-08-18T11:39:00Z</dcterms:modified>
</cp:coreProperties>
</file>